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77CC8" w14:textId="24F8FD74" w:rsidR="00B02B02" w:rsidRDefault="00016639" w:rsidP="006C6349">
      <w:pPr>
        <w:pStyle w:val="ConsPlusTitle"/>
        <w:jc w:val="center"/>
      </w:pPr>
      <w:bookmarkStart w:id="0" w:name="P45"/>
      <w:bookmarkEnd w:id="0"/>
      <w:r>
        <w:t>ИНФОРМАЦИЯ</w:t>
      </w:r>
      <w:r w:rsidR="00B02B02">
        <w:t xml:space="preserve"> О ДЕЯТЕЛЬНОСТИ АУДИТОРСКОЙ</w:t>
      </w:r>
      <w:r w:rsidR="00DA5FD0">
        <w:t xml:space="preserve"> ОРГАНИЗАЦИИ</w:t>
      </w:r>
    </w:p>
    <w:p w14:paraId="4C9AAAE8" w14:textId="77777777" w:rsidR="00DA5FD0" w:rsidRDefault="00DA5FD0" w:rsidP="006C6349">
      <w:pPr>
        <w:pStyle w:val="ConsPlusTitle"/>
        <w:jc w:val="center"/>
      </w:pPr>
    </w:p>
    <w:p w14:paraId="7AF3120F" w14:textId="7497ABDC" w:rsidR="00DA5FD0" w:rsidRDefault="00B02B02" w:rsidP="00DA5FD0">
      <w:pPr>
        <w:pStyle w:val="Default"/>
        <w:jc w:val="center"/>
      </w:pPr>
      <w:r>
        <w:t>ОРГАНИЗАЦИИ, ПОДЛЕЖАЩЕЙ РАСКРЫТИЮ</w:t>
      </w:r>
    </w:p>
    <w:p w14:paraId="5A08C4EE" w14:textId="62EC8635" w:rsidR="00DA5FD0" w:rsidRDefault="00DA5FD0" w:rsidP="00DA5FD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ПЕРЕЧЕНЬ ИНФОРМАЦИИ О ДЕЯТЕЛЬНОСТИ</w:t>
      </w:r>
    </w:p>
    <w:p w14:paraId="1D77C57D" w14:textId="29A982C9" w:rsidR="00DA5FD0" w:rsidRDefault="00DA5FD0" w:rsidP="00DA5FD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ООО «АБК Констант-М»</w:t>
      </w:r>
    </w:p>
    <w:p w14:paraId="16E01CE3" w14:textId="1C0D2E69" w:rsidR="00DA5FD0" w:rsidRDefault="00DA5FD0" w:rsidP="00DA5FD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ПОДЛЕЖАЩЕЙ РАСКРЫТИЮ за 202</w:t>
      </w:r>
      <w:r w:rsidR="00E850BC">
        <w:rPr>
          <w:sz w:val="28"/>
          <w:szCs w:val="28"/>
        </w:rPr>
        <w:t>5</w:t>
      </w:r>
      <w:r>
        <w:rPr>
          <w:sz w:val="28"/>
          <w:szCs w:val="28"/>
        </w:rPr>
        <w:t xml:space="preserve"> год,</w:t>
      </w:r>
    </w:p>
    <w:p w14:paraId="2EC0E717" w14:textId="6F71134C" w:rsidR="00DA5FD0" w:rsidRDefault="00DA5FD0" w:rsidP="00DA5FD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(информация по состоянию на </w:t>
      </w:r>
      <w:r w:rsidR="00E850BC">
        <w:rPr>
          <w:sz w:val="23"/>
          <w:szCs w:val="23"/>
        </w:rPr>
        <w:t>07</w:t>
      </w:r>
      <w:r>
        <w:rPr>
          <w:sz w:val="23"/>
          <w:szCs w:val="23"/>
        </w:rPr>
        <w:t>.</w:t>
      </w:r>
      <w:r w:rsidR="00E850BC">
        <w:rPr>
          <w:sz w:val="23"/>
          <w:szCs w:val="23"/>
        </w:rPr>
        <w:t>11</w:t>
      </w:r>
      <w:r>
        <w:rPr>
          <w:sz w:val="23"/>
          <w:szCs w:val="23"/>
        </w:rPr>
        <w:t>.202</w:t>
      </w:r>
      <w:r w:rsidR="00AE78CA">
        <w:rPr>
          <w:sz w:val="23"/>
          <w:szCs w:val="23"/>
        </w:rPr>
        <w:t>5</w:t>
      </w:r>
      <w:r>
        <w:rPr>
          <w:sz w:val="23"/>
          <w:szCs w:val="23"/>
        </w:rPr>
        <w:t>г.)</w:t>
      </w:r>
    </w:p>
    <w:p w14:paraId="396E20CB" w14:textId="2CE9D1B9" w:rsidR="00DA5FD0" w:rsidRDefault="00DA5FD0" w:rsidP="00DA5FD0">
      <w:pPr>
        <w:pStyle w:val="Default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в соответствии с Приказом Минфина России от 30.11.2021 N 198н</w:t>
      </w:r>
    </w:p>
    <w:p w14:paraId="2C8ACB8A" w14:textId="50ECD181" w:rsidR="00B02B02" w:rsidRDefault="00DA5FD0" w:rsidP="00DA5FD0">
      <w:pPr>
        <w:pStyle w:val="ConsPlusTitle"/>
        <w:jc w:val="center"/>
      </w:pPr>
      <w:r>
        <w:rPr>
          <w:sz w:val="20"/>
        </w:rPr>
        <w:t>(с учетом изменений с 01.09.2023г.)</w:t>
      </w:r>
    </w:p>
    <w:p w14:paraId="46F888C8" w14:textId="77777777" w:rsidR="00530B55" w:rsidRPr="000C31AB" w:rsidRDefault="00530B55" w:rsidP="00E37D89">
      <w:pPr>
        <w:pStyle w:val="ConsPlusNormal"/>
        <w:jc w:val="both"/>
        <w:rPr>
          <w:sz w:val="20"/>
        </w:rPr>
      </w:pPr>
    </w:p>
    <w:p w14:paraId="003E0A46" w14:textId="77777777" w:rsidR="00B02B02" w:rsidRPr="00614122" w:rsidRDefault="00B02B02" w:rsidP="009C4887">
      <w:pPr>
        <w:pStyle w:val="ConsPlusNormal"/>
        <w:spacing w:before="220"/>
        <w:ind w:firstLine="540"/>
        <w:jc w:val="center"/>
        <w:rPr>
          <w:b/>
          <w:szCs w:val="22"/>
        </w:rPr>
      </w:pPr>
      <w:r w:rsidRPr="00614122">
        <w:rPr>
          <w:b/>
          <w:szCs w:val="22"/>
        </w:rPr>
        <w:t>2. Информация о наличии права аудиторской организации оказывать аудиторские услуги:</w:t>
      </w:r>
    </w:p>
    <w:p w14:paraId="671CDF57" w14:textId="77777777" w:rsidR="00C36D5D" w:rsidRPr="00614122" w:rsidRDefault="00C36D5D" w:rsidP="00E37D89">
      <w:pPr>
        <w:pStyle w:val="ConsPlusNormal"/>
        <w:jc w:val="both"/>
        <w:rPr>
          <w:sz w:val="20"/>
        </w:rPr>
      </w:pPr>
      <w:bookmarkStart w:id="1" w:name="P56"/>
      <w:bookmarkEnd w:id="1"/>
    </w:p>
    <w:p w14:paraId="51E34641" w14:textId="77777777" w:rsidR="0013483E" w:rsidRPr="00614122" w:rsidRDefault="00B02B02" w:rsidP="002A751B">
      <w:pPr>
        <w:pStyle w:val="ConsPlusNormal"/>
        <w:spacing w:before="220"/>
        <w:ind w:firstLine="540"/>
        <w:jc w:val="both"/>
        <w:rPr>
          <w:b/>
        </w:rPr>
      </w:pPr>
      <w:bookmarkStart w:id="2" w:name="P59"/>
      <w:bookmarkEnd w:id="2"/>
      <w:r w:rsidRPr="00614122">
        <w:rPr>
          <w:b/>
        </w:rPr>
        <w:t>3. Информация о структуре аудиторской организации с указанием всех ее органов управления и их основных функций, а также фамилий, имен, отчеств (при наличии) членов коллегиального исполнительного органа аудиторской организации (с указанием тех из них, кто является независимым членом (при наличии)) и лица, исполняющего обязанности ее единоличного исполнительного органа.</w:t>
      </w:r>
    </w:p>
    <w:p w14:paraId="170AFF76" w14:textId="77777777" w:rsidR="00D16118" w:rsidRPr="00614122" w:rsidRDefault="00D16118" w:rsidP="002A751B">
      <w:pPr>
        <w:pStyle w:val="ConsPlusNormal"/>
        <w:spacing w:before="220"/>
        <w:ind w:firstLine="540"/>
        <w:jc w:val="both"/>
        <w:rPr>
          <w:b/>
        </w:rPr>
      </w:pPr>
    </w:p>
    <w:tbl>
      <w:tblPr>
        <w:tblStyle w:val="a3"/>
        <w:tblW w:w="4888" w:type="pct"/>
        <w:tblLook w:val="04A0" w:firstRow="1" w:lastRow="0" w:firstColumn="1" w:lastColumn="0" w:noHBand="0" w:noVBand="1"/>
      </w:tblPr>
      <w:tblGrid>
        <w:gridCol w:w="556"/>
        <w:gridCol w:w="4151"/>
        <w:gridCol w:w="4429"/>
      </w:tblGrid>
      <w:tr w:rsidR="00D16118" w:rsidRPr="00614122" w14:paraId="15C220E2" w14:textId="77777777" w:rsidTr="00DA5FD0">
        <w:trPr>
          <w:trHeight w:val="567"/>
        </w:trPr>
        <w:tc>
          <w:tcPr>
            <w:tcW w:w="304" w:type="pct"/>
          </w:tcPr>
          <w:p w14:paraId="1BF70F29" w14:textId="77777777" w:rsidR="00D16118" w:rsidRPr="00614122" w:rsidRDefault="00D16118" w:rsidP="00A617C8">
            <w:pPr>
              <w:pStyle w:val="ConsPlusNormal"/>
            </w:pPr>
            <w:r w:rsidRPr="00614122">
              <w:t>а1</w:t>
            </w:r>
          </w:p>
        </w:tc>
        <w:tc>
          <w:tcPr>
            <w:tcW w:w="2272" w:type="pct"/>
          </w:tcPr>
          <w:p w14:paraId="700D61B2" w14:textId="77777777" w:rsidR="00D16118" w:rsidRPr="00614122" w:rsidRDefault="00D16118" w:rsidP="00A617C8">
            <w:pPr>
              <w:pStyle w:val="ConsPlusNormal"/>
            </w:pPr>
            <w:r w:rsidRPr="00614122">
              <w:t>Фамилия, имя и отчество единоличного исполнительного органа аудиторской организации</w:t>
            </w:r>
          </w:p>
        </w:tc>
        <w:tc>
          <w:tcPr>
            <w:tcW w:w="2424" w:type="pct"/>
            <w:vAlign w:val="center"/>
          </w:tcPr>
          <w:p w14:paraId="33931BA3" w14:textId="77777777" w:rsidR="00054892" w:rsidRDefault="00C52EB7" w:rsidP="00054892">
            <w:pPr>
              <w:pStyle w:val="ConsPlusNormal"/>
              <w:jc w:val="center"/>
            </w:pPr>
            <w:r w:rsidRPr="00054892">
              <w:t xml:space="preserve">Руководство текущей деятельностью осуществляется единоличным исполнительным органом - Генеральным директором. </w:t>
            </w:r>
          </w:p>
          <w:p w14:paraId="4AD4F4F9" w14:textId="537551DD" w:rsidR="00C52EB7" w:rsidRPr="00054892" w:rsidRDefault="00C52EB7" w:rsidP="00054892">
            <w:pPr>
              <w:pStyle w:val="ConsPlusNormal"/>
              <w:jc w:val="center"/>
            </w:pPr>
            <w:r w:rsidRPr="00054892">
              <w:t xml:space="preserve">Генеральный директор Общества – </w:t>
            </w:r>
            <w:r w:rsidR="00E850BC">
              <w:t xml:space="preserve">Солнцева Наталья Валерьевна </w:t>
            </w:r>
          </w:p>
          <w:p w14:paraId="4C69E6A5" w14:textId="0C78352C" w:rsidR="00D16118" w:rsidRPr="00614122" w:rsidRDefault="00D16118" w:rsidP="00054892">
            <w:pPr>
              <w:pStyle w:val="ConsPlusNormal"/>
              <w:jc w:val="center"/>
            </w:pPr>
          </w:p>
        </w:tc>
      </w:tr>
      <w:tr w:rsidR="00D16118" w:rsidRPr="00614122" w14:paraId="0CDF428E" w14:textId="77777777" w:rsidTr="00DA5FD0">
        <w:trPr>
          <w:trHeight w:val="567"/>
        </w:trPr>
        <w:tc>
          <w:tcPr>
            <w:tcW w:w="304" w:type="pct"/>
          </w:tcPr>
          <w:p w14:paraId="537448E1" w14:textId="77777777" w:rsidR="00D16118" w:rsidRPr="00614122" w:rsidRDefault="00D16118" w:rsidP="00A617C8">
            <w:pPr>
              <w:pStyle w:val="ConsPlusNormal"/>
            </w:pPr>
            <w:r w:rsidRPr="00614122">
              <w:t>а2</w:t>
            </w:r>
          </w:p>
        </w:tc>
        <w:tc>
          <w:tcPr>
            <w:tcW w:w="2272" w:type="pct"/>
          </w:tcPr>
          <w:p w14:paraId="4B0C8776" w14:textId="77777777" w:rsidR="00DA5FD0" w:rsidRDefault="00DA5FD0" w:rsidP="00A617C8">
            <w:pPr>
              <w:pStyle w:val="ConsPlusNormal"/>
            </w:pPr>
            <w:r w:rsidRPr="009152CD">
              <w:t>Информация о структуре аудиторской организации с указанием всех ее органов управления и их основных функций</w:t>
            </w:r>
            <w:r w:rsidRPr="00614122">
              <w:t xml:space="preserve"> </w:t>
            </w:r>
          </w:p>
          <w:p w14:paraId="647466F7" w14:textId="77777777" w:rsidR="00DA5FD0" w:rsidRDefault="00DA5FD0" w:rsidP="00A617C8">
            <w:pPr>
              <w:pStyle w:val="ConsPlusNormal"/>
            </w:pPr>
          </w:p>
          <w:p w14:paraId="4E8BD182" w14:textId="77777777" w:rsidR="00DA5FD0" w:rsidRDefault="00DA5FD0" w:rsidP="00A617C8">
            <w:pPr>
              <w:pStyle w:val="ConsPlusNormal"/>
            </w:pPr>
          </w:p>
          <w:p w14:paraId="17E1E7F1" w14:textId="77777777" w:rsidR="00DA5FD0" w:rsidRDefault="00DA5FD0" w:rsidP="00A617C8">
            <w:pPr>
              <w:pStyle w:val="ConsPlusNormal"/>
            </w:pPr>
          </w:p>
          <w:p w14:paraId="202E56E0" w14:textId="77777777" w:rsidR="00DA5FD0" w:rsidRDefault="00DA5FD0" w:rsidP="00A617C8">
            <w:pPr>
              <w:pStyle w:val="ConsPlusNormal"/>
            </w:pPr>
          </w:p>
          <w:p w14:paraId="7EEAC03B" w14:textId="77777777" w:rsidR="00DA5FD0" w:rsidRDefault="00DA5FD0" w:rsidP="00A617C8">
            <w:pPr>
              <w:pStyle w:val="ConsPlusNormal"/>
            </w:pPr>
          </w:p>
          <w:p w14:paraId="6725ED57" w14:textId="77777777" w:rsidR="00DA5FD0" w:rsidRDefault="00DA5FD0" w:rsidP="00A617C8">
            <w:pPr>
              <w:pStyle w:val="ConsPlusNormal"/>
            </w:pPr>
          </w:p>
          <w:p w14:paraId="1E3BED74" w14:textId="77777777" w:rsidR="00DA5FD0" w:rsidRDefault="00DA5FD0" w:rsidP="00A617C8">
            <w:pPr>
              <w:pStyle w:val="ConsPlusNormal"/>
            </w:pPr>
          </w:p>
          <w:p w14:paraId="64B741A4" w14:textId="77777777" w:rsidR="009152CD" w:rsidRDefault="009152CD" w:rsidP="00A617C8">
            <w:pPr>
              <w:pStyle w:val="ConsPlusNormal"/>
            </w:pPr>
          </w:p>
          <w:p w14:paraId="675D3307" w14:textId="77777777" w:rsidR="009152CD" w:rsidRDefault="009152CD" w:rsidP="00A617C8">
            <w:pPr>
              <w:pStyle w:val="ConsPlusNormal"/>
            </w:pPr>
          </w:p>
          <w:p w14:paraId="060898C8" w14:textId="77777777" w:rsidR="009152CD" w:rsidRDefault="009152CD" w:rsidP="00A617C8">
            <w:pPr>
              <w:pStyle w:val="ConsPlusNormal"/>
            </w:pPr>
          </w:p>
          <w:p w14:paraId="4D08F2E7" w14:textId="77777777" w:rsidR="009152CD" w:rsidRDefault="009152CD" w:rsidP="00A617C8">
            <w:pPr>
              <w:pStyle w:val="ConsPlusNormal"/>
            </w:pPr>
          </w:p>
          <w:p w14:paraId="2F1CC438" w14:textId="12D9EA94" w:rsidR="00D16118" w:rsidRPr="00614122" w:rsidRDefault="00D16118" w:rsidP="00A617C8">
            <w:pPr>
              <w:pStyle w:val="ConsPlusNormal"/>
            </w:pPr>
            <w:r w:rsidRPr="00614122">
              <w:t>Основные функции единоличного исполнительного органа аудиторской организации</w:t>
            </w:r>
          </w:p>
        </w:tc>
        <w:tc>
          <w:tcPr>
            <w:tcW w:w="2424" w:type="pct"/>
            <w:vAlign w:val="center"/>
          </w:tcPr>
          <w:p w14:paraId="38BBC63B" w14:textId="77777777" w:rsidR="009152CD" w:rsidRDefault="00DA5FD0" w:rsidP="009152CD">
            <w:pPr>
              <w:pStyle w:val="ConsPlusNormal"/>
            </w:pPr>
            <w:r w:rsidRPr="009152CD">
              <w:t xml:space="preserve">Высшим органом управления является Общее собрание участников. К компетенции Общего собрания участников среди прочего относятся следующие вопросы: </w:t>
            </w:r>
          </w:p>
          <w:p w14:paraId="0F17DD69" w14:textId="77777777" w:rsidR="009152CD" w:rsidRDefault="00DA5FD0" w:rsidP="009152CD">
            <w:pPr>
              <w:pStyle w:val="ConsPlusNormal"/>
            </w:pPr>
            <w:r w:rsidRPr="009152CD">
              <w:t xml:space="preserve">• определение основных направлений деятельности Общества; </w:t>
            </w:r>
          </w:p>
          <w:p w14:paraId="0B64D492" w14:textId="77777777" w:rsidR="009152CD" w:rsidRDefault="00DA5FD0" w:rsidP="009152CD">
            <w:pPr>
              <w:pStyle w:val="ConsPlusNormal"/>
            </w:pPr>
            <w:r w:rsidRPr="009152CD">
              <w:t xml:space="preserve">• изменение Устава Общества, в том числе изменение размера Уставного капитала Общества; </w:t>
            </w:r>
          </w:p>
          <w:p w14:paraId="27960EC8" w14:textId="77777777" w:rsidR="009152CD" w:rsidRDefault="00DA5FD0" w:rsidP="009152CD">
            <w:pPr>
              <w:pStyle w:val="ConsPlusNormal"/>
            </w:pPr>
            <w:r w:rsidRPr="009152CD">
              <w:t xml:space="preserve">• образование исполнительных органов Общества и досрочное прекращение их полномочий; </w:t>
            </w:r>
          </w:p>
          <w:p w14:paraId="21D93AA4" w14:textId="77777777" w:rsidR="009152CD" w:rsidRDefault="00DA5FD0" w:rsidP="009152CD">
            <w:pPr>
              <w:pStyle w:val="ConsPlusNormal"/>
            </w:pPr>
            <w:r w:rsidRPr="009152CD">
              <w:t xml:space="preserve">• утверждение годовых отчетов и годовых бухгалтерских балансов; </w:t>
            </w:r>
          </w:p>
          <w:p w14:paraId="3D0AD726" w14:textId="77777777" w:rsidR="009152CD" w:rsidRDefault="00DA5FD0" w:rsidP="009152CD">
            <w:pPr>
              <w:pStyle w:val="ConsPlusNormal"/>
            </w:pPr>
            <w:r w:rsidRPr="009152CD">
              <w:t>• принятие решения о распределении чистой прибыли Общества;</w:t>
            </w:r>
          </w:p>
          <w:p w14:paraId="0A3D488C" w14:textId="77777777" w:rsidR="009152CD" w:rsidRDefault="00DA5FD0" w:rsidP="009152CD">
            <w:pPr>
              <w:pStyle w:val="ConsPlusNormal"/>
            </w:pPr>
            <w:r w:rsidRPr="009152CD">
              <w:t xml:space="preserve"> • принятие решения о внесении вкладов в имущество Общества;</w:t>
            </w:r>
          </w:p>
          <w:p w14:paraId="7555BF96" w14:textId="77777777" w:rsidR="009152CD" w:rsidRDefault="00DA5FD0" w:rsidP="009152CD">
            <w:pPr>
              <w:pStyle w:val="ConsPlusNormal"/>
            </w:pPr>
            <w:r w:rsidRPr="009152CD">
              <w:t xml:space="preserve"> • принятие решения об открытии обособленных подразделений Общества; </w:t>
            </w:r>
          </w:p>
          <w:p w14:paraId="27B3E77C" w14:textId="77777777" w:rsidR="009152CD" w:rsidRDefault="00DA5FD0" w:rsidP="009152CD">
            <w:pPr>
              <w:pStyle w:val="ConsPlusNormal"/>
            </w:pPr>
            <w:r w:rsidRPr="009152CD">
              <w:t xml:space="preserve">• принятие решения об участии в ассоциациях и других объединениях коммерческих организаций; </w:t>
            </w:r>
          </w:p>
          <w:p w14:paraId="75A5378D" w14:textId="77777777" w:rsidR="009152CD" w:rsidRDefault="00DA5FD0" w:rsidP="009152CD">
            <w:pPr>
              <w:pStyle w:val="ConsPlusNormal"/>
            </w:pPr>
            <w:r w:rsidRPr="009152CD">
              <w:t>• утверждение (принятие) документов, регулирующих деятельность органов Общества;</w:t>
            </w:r>
          </w:p>
          <w:p w14:paraId="515E79E8" w14:textId="3BC452B2" w:rsidR="00DA5FD0" w:rsidRPr="009152CD" w:rsidRDefault="00DA5FD0" w:rsidP="009152CD">
            <w:pPr>
              <w:pStyle w:val="ConsPlusNormal"/>
            </w:pPr>
            <w:r w:rsidRPr="009152CD">
              <w:t xml:space="preserve"> • иные функции, предусмотренные Уставом Общества. </w:t>
            </w:r>
          </w:p>
          <w:p w14:paraId="3FB0938E" w14:textId="77777777" w:rsidR="00DA5FD0" w:rsidRDefault="00DA5FD0" w:rsidP="00054892">
            <w:pPr>
              <w:pStyle w:val="ConsPlusNormal"/>
            </w:pPr>
          </w:p>
          <w:p w14:paraId="3E5C4B37" w14:textId="0EB7E3F3" w:rsidR="00054892" w:rsidRPr="00054892" w:rsidRDefault="00054892" w:rsidP="00054892">
            <w:pPr>
              <w:pStyle w:val="ConsPlusNormal"/>
            </w:pPr>
            <w:r w:rsidRPr="00054892">
              <w:t xml:space="preserve">К компетенции Генерального директора среди прочего относятся следующие вопросы: </w:t>
            </w:r>
          </w:p>
          <w:p w14:paraId="1ACC6C6B" w14:textId="129E0F6D" w:rsidR="00054892" w:rsidRDefault="00054892" w:rsidP="00054892">
            <w:pPr>
              <w:pStyle w:val="ConsPlusNormal"/>
            </w:pPr>
            <w:r>
              <w:t>-</w:t>
            </w:r>
            <w:r w:rsidRPr="00054892">
              <w:t xml:space="preserve"> без доверенности действует от имени Общества, в том числе представляет его интересы и совершает сделки;</w:t>
            </w:r>
          </w:p>
          <w:p w14:paraId="7E965149" w14:textId="77777777" w:rsidR="00054892" w:rsidRDefault="00054892" w:rsidP="00054892">
            <w:pPr>
              <w:pStyle w:val="ConsPlusNormal"/>
            </w:pPr>
            <w:r>
              <w:t>- представляет интересы Общества:</w:t>
            </w:r>
          </w:p>
          <w:p w14:paraId="7B9DA8B1" w14:textId="77777777" w:rsidR="00054892" w:rsidRDefault="00054892" w:rsidP="00054892">
            <w:pPr>
              <w:pStyle w:val="ConsPlusNormal"/>
            </w:pPr>
            <w:r>
              <w:t>- совершает сделки;</w:t>
            </w:r>
          </w:p>
          <w:p w14:paraId="1CCB1FB6" w14:textId="77777777" w:rsidR="00054892" w:rsidRDefault="00054892" w:rsidP="00054892">
            <w:pPr>
              <w:pStyle w:val="ConsPlusNormal"/>
            </w:pPr>
            <w:r>
              <w:t>- заключает договоры:</w:t>
            </w:r>
          </w:p>
          <w:p w14:paraId="7F93FADF" w14:textId="1B583A62" w:rsidR="00054892" w:rsidRDefault="00054892" w:rsidP="00054892">
            <w:pPr>
              <w:pStyle w:val="ConsPlusNormal"/>
            </w:pPr>
            <w:r>
              <w:t>- выдает доверенности на право представительства от имени Общества;</w:t>
            </w:r>
          </w:p>
          <w:p w14:paraId="44E86666" w14:textId="682AD6A6" w:rsidR="00054892" w:rsidRDefault="00054892" w:rsidP="00054892">
            <w:pPr>
              <w:pStyle w:val="ConsPlusNormal"/>
            </w:pPr>
            <w:r>
              <w:t xml:space="preserve">- </w:t>
            </w:r>
            <w:r w:rsidRPr="00054892">
              <w:t xml:space="preserve">издает приказы о назначении на должности работников Общества, об их переводе и увольнении, применяет меры поощрения и налагает дисциплинарные взыскания; </w:t>
            </w:r>
          </w:p>
          <w:p w14:paraId="26DD3FC7" w14:textId="46BEB15C" w:rsidR="00054892" w:rsidRDefault="00054892" w:rsidP="00054892">
            <w:pPr>
              <w:pStyle w:val="ConsPlusNormal"/>
            </w:pPr>
            <w:r>
              <w:t>- распоряжается имуществом Общества (с ограничениями в отношении крупных сделок и сделок с заинтересованностью;</w:t>
            </w:r>
          </w:p>
          <w:p w14:paraId="6DEB9448" w14:textId="12ECD62A" w:rsidR="00054892" w:rsidRDefault="00054892" w:rsidP="00054892">
            <w:pPr>
              <w:pStyle w:val="ConsPlusNormal"/>
            </w:pPr>
            <w:r>
              <w:t>-</w:t>
            </w:r>
            <w:r w:rsidRPr="00054892">
              <w:t xml:space="preserve"> открывает расчетные и иные счета в банках</w:t>
            </w:r>
            <w:r>
              <w:t>, имеет право подписи и распоряжения денежными средствами Общества</w:t>
            </w:r>
            <w:r w:rsidRPr="00054892">
              <w:t xml:space="preserve">; </w:t>
            </w:r>
          </w:p>
          <w:p w14:paraId="679BA57C" w14:textId="22E0BF0F" w:rsidR="00054892" w:rsidRDefault="00054892" w:rsidP="00054892">
            <w:pPr>
              <w:pStyle w:val="ConsPlusNormal"/>
            </w:pPr>
            <w:r>
              <w:t xml:space="preserve">- </w:t>
            </w:r>
            <w:r w:rsidRPr="00054892">
              <w:t xml:space="preserve">утверждает (принимает) документы, регулирующие текущую деятельность Общества; </w:t>
            </w:r>
          </w:p>
          <w:p w14:paraId="7A6A5B17" w14:textId="68B81CB2" w:rsidR="00054892" w:rsidRDefault="00054892" w:rsidP="00054892">
            <w:pPr>
              <w:pStyle w:val="ConsPlusNormal"/>
            </w:pPr>
            <w:r>
              <w:t>-</w:t>
            </w:r>
            <w:r w:rsidRPr="00054892">
              <w:t xml:space="preserve"> осуществляет иные функции, предусмотренные Уставом Общества.</w:t>
            </w:r>
          </w:p>
          <w:p w14:paraId="50894AD7" w14:textId="4587E2C3" w:rsidR="00054892" w:rsidRPr="00054892" w:rsidRDefault="00054892" w:rsidP="00054892">
            <w:pPr>
              <w:pStyle w:val="ConsPlusNormal"/>
            </w:pPr>
            <w:r w:rsidRPr="00054892">
              <w:t xml:space="preserve"> </w:t>
            </w:r>
          </w:p>
          <w:p w14:paraId="7DA06212" w14:textId="1E007E75" w:rsidR="00D16118" w:rsidRPr="00054892" w:rsidRDefault="00D16118" w:rsidP="00054892">
            <w:pPr>
              <w:pStyle w:val="ConsPlusNormal"/>
            </w:pPr>
          </w:p>
        </w:tc>
      </w:tr>
    </w:tbl>
    <w:p w14:paraId="6C08F85B" w14:textId="77777777" w:rsidR="002A751B" w:rsidRPr="00614122" w:rsidRDefault="002A751B" w:rsidP="00E37D89">
      <w:pPr>
        <w:pStyle w:val="ConsPlusNormal"/>
        <w:spacing w:before="220"/>
        <w:jc w:val="both"/>
        <w:rPr>
          <w:sz w:val="20"/>
        </w:rPr>
      </w:pPr>
    </w:p>
    <w:sectPr w:rsidR="002A751B" w:rsidRPr="00614122" w:rsidSect="00320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6DD81" w14:textId="77777777" w:rsidR="00B042DA" w:rsidRDefault="00B042DA" w:rsidP="006C6349">
      <w:pPr>
        <w:spacing w:after="0" w:line="240" w:lineRule="auto"/>
      </w:pPr>
      <w:r>
        <w:separator/>
      </w:r>
    </w:p>
  </w:endnote>
  <w:endnote w:type="continuationSeparator" w:id="0">
    <w:p w14:paraId="12FF0806" w14:textId="77777777" w:rsidR="00B042DA" w:rsidRDefault="00B042DA" w:rsidP="006C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345D9" w14:textId="77777777" w:rsidR="00B042DA" w:rsidRDefault="00B042DA" w:rsidP="006C6349">
      <w:pPr>
        <w:spacing w:after="0" w:line="240" w:lineRule="auto"/>
      </w:pPr>
      <w:r>
        <w:separator/>
      </w:r>
    </w:p>
  </w:footnote>
  <w:footnote w:type="continuationSeparator" w:id="0">
    <w:p w14:paraId="785BDEBD" w14:textId="77777777" w:rsidR="00B042DA" w:rsidRDefault="00B042DA" w:rsidP="006C6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A5298"/>
    <w:multiLevelType w:val="multilevel"/>
    <w:tmpl w:val="934C58D0"/>
    <w:lvl w:ilvl="0">
      <w:start w:val="1"/>
      <w:numFmt w:val="bullet"/>
      <w:lvlText w:val=""/>
      <w:lvlJc w:val="left"/>
      <w:pPr>
        <w:tabs>
          <w:tab w:val="num" w:pos="7551"/>
        </w:tabs>
        <w:ind w:left="755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8271"/>
        </w:tabs>
        <w:ind w:left="827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8991"/>
        </w:tabs>
        <w:ind w:left="899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9711"/>
        </w:tabs>
        <w:ind w:left="971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0431"/>
        </w:tabs>
        <w:ind w:left="1043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11151"/>
        </w:tabs>
        <w:ind w:left="1115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11871"/>
        </w:tabs>
        <w:ind w:left="1187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2591"/>
        </w:tabs>
        <w:ind w:left="1259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3311"/>
        </w:tabs>
        <w:ind w:left="13311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0823E9"/>
    <w:multiLevelType w:val="hybridMultilevel"/>
    <w:tmpl w:val="54E423E4"/>
    <w:lvl w:ilvl="0" w:tplc="AFEA5A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85882654">
    <w:abstractNumId w:val="1"/>
  </w:num>
  <w:num w:numId="2" w16cid:durableId="134428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02"/>
    <w:rsid w:val="0000099F"/>
    <w:rsid w:val="00001DE6"/>
    <w:rsid w:val="00004A7A"/>
    <w:rsid w:val="0000503D"/>
    <w:rsid w:val="000058EA"/>
    <w:rsid w:val="00006F35"/>
    <w:rsid w:val="00016639"/>
    <w:rsid w:val="0002041F"/>
    <w:rsid w:val="00026FA4"/>
    <w:rsid w:val="00054892"/>
    <w:rsid w:val="00061473"/>
    <w:rsid w:val="000B3BB2"/>
    <w:rsid w:val="000B470F"/>
    <w:rsid w:val="000B76BC"/>
    <w:rsid w:val="000C31AB"/>
    <w:rsid w:val="000C364E"/>
    <w:rsid w:val="000D253A"/>
    <w:rsid w:val="000F5137"/>
    <w:rsid w:val="001053C7"/>
    <w:rsid w:val="0011056C"/>
    <w:rsid w:val="001217A3"/>
    <w:rsid w:val="0013483E"/>
    <w:rsid w:val="00152753"/>
    <w:rsid w:val="001A2080"/>
    <w:rsid w:val="001C01E0"/>
    <w:rsid w:val="001F259F"/>
    <w:rsid w:val="00207076"/>
    <w:rsid w:val="0022361D"/>
    <w:rsid w:val="00225504"/>
    <w:rsid w:val="00232F30"/>
    <w:rsid w:val="002339EB"/>
    <w:rsid w:val="00242802"/>
    <w:rsid w:val="00267956"/>
    <w:rsid w:val="00270FD0"/>
    <w:rsid w:val="0027548C"/>
    <w:rsid w:val="0028610B"/>
    <w:rsid w:val="002952A4"/>
    <w:rsid w:val="002A0257"/>
    <w:rsid w:val="002A3199"/>
    <w:rsid w:val="002A751B"/>
    <w:rsid w:val="002D5998"/>
    <w:rsid w:val="002D79C0"/>
    <w:rsid w:val="0032020F"/>
    <w:rsid w:val="00327178"/>
    <w:rsid w:val="003337F2"/>
    <w:rsid w:val="00336094"/>
    <w:rsid w:val="00351F29"/>
    <w:rsid w:val="00366663"/>
    <w:rsid w:val="00381119"/>
    <w:rsid w:val="003841FB"/>
    <w:rsid w:val="00384F12"/>
    <w:rsid w:val="003B0185"/>
    <w:rsid w:val="003B3AD6"/>
    <w:rsid w:val="003B3D31"/>
    <w:rsid w:val="003F2766"/>
    <w:rsid w:val="0040006E"/>
    <w:rsid w:val="004036C7"/>
    <w:rsid w:val="004066CB"/>
    <w:rsid w:val="00412BF3"/>
    <w:rsid w:val="00424F2A"/>
    <w:rsid w:val="00443AB7"/>
    <w:rsid w:val="004463DD"/>
    <w:rsid w:val="0049308D"/>
    <w:rsid w:val="00496FEE"/>
    <w:rsid w:val="004C303D"/>
    <w:rsid w:val="004E3F14"/>
    <w:rsid w:val="004E6724"/>
    <w:rsid w:val="0051713D"/>
    <w:rsid w:val="00522CC2"/>
    <w:rsid w:val="00526C79"/>
    <w:rsid w:val="00530B55"/>
    <w:rsid w:val="005409B2"/>
    <w:rsid w:val="0057041C"/>
    <w:rsid w:val="00592C0A"/>
    <w:rsid w:val="00594C59"/>
    <w:rsid w:val="005975F6"/>
    <w:rsid w:val="005A0244"/>
    <w:rsid w:val="005C2CC1"/>
    <w:rsid w:val="005E251D"/>
    <w:rsid w:val="005E5005"/>
    <w:rsid w:val="0060639A"/>
    <w:rsid w:val="00614122"/>
    <w:rsid w:val="0061645E"/>
    <w:rsid w:val="00617624"/>
    <w:rsid w:val="0062590A"/>
    <w:rsid w:val="00635494"/>
    <w:rsid w:val="00642AAF"/>
    <w:rsid w:val="00644288"/>
    <w:rsid w:val="00647A1A"/>
    <w:rsid w:val="00652D47"/>
    <w:rsid w:val="00655CC3"/>
    <w:rsid w:val="0068433F"/>
    <w:rsid w:val="00690992"/>
    <w:rsid w:val="0069708B"/>
    <w:rsid w:val="006A13AE"/>
    <w:rsid w:val="006C6349"/>
    <w:rsid w:val="006D2563"/>
    <w:rsid w:val="006D4E11"/>
    <w:rsid w:val="006D6372"/>
    <w:rsid w:val="006E1DEB"/>
    <w:rsid w:val="007125DC"/>
    <w:rsid w:val="00715736"/>
    <w:rsid w:val="00715DBA"/>
    <w:rsid w:val="0071654A"/>
    <w:rsid w:val="00722BCE"/>
    <w:rsid w:val="00762F3A"/>
    <w:rsid w:val="00763C47"/>
    <w:rsid w:val="00765827"/>
    <w:rsid w:val="00797E0A"/>
    <w:rsid w:val="007C7C82"/>
    <w:rsid w:val="0081070A"/>
    <w:rsid w:val="00826965"/>
    <w:rsid w:val="008407D2"/>
    <w:rsid w:val="008534CA"/>
    <w:rsid w:val="00866B50"/>
    <w:rsid w:val="0086710C"/>
    <w:rsid w:val="0089584E"/>
    <w:rsid w:val="008A5D7F"/>
    <w:rsid w:val="008A75A4"/>
    <w:rsid w:val="008B2879"/>
    <w:rsid w:val="008D4AD3"/>
    <w:rsid w:val="008D63D3"/>
    <w:rsid w:val="008E22FF"/>
    <w:rsid w:val="00900A45"/>
    <w:rsid w:val="009131FB"/>
    <w:rsid w:val="009152CD"/>
    <w:rsid w:val="00934B47"/>
    <w:rsid w:val="00934BB9"/>
    <w:rsid w:val="009544B5"/>
    <w:rsid w:val="00956887"/>
    <w:rsid w:val="009809ED"/>
    <w:rsid w:val="009A2811"/>
    <w:rsid w:val="009B5482"/>
    <w:rsid w:val="009C0F0C"/>
    <w:rsid w:val="009C4887"/>
    <w:rsid w:val="009D4799"/>
    <w:rsid w:val="009D4E8F"/>
    <w:rsid w:val="009F0608"/>
    <w:rsid w:val="009F14FE"/>
    <w:rsid w:val="009F524C"/>
    <w:rsid w:val="00A22936"/>
    <w:rsid w:val="00A31B37"/>
    <w:rsid w:val="00A80698"/>
    <w:rsid w:val="00A9501C"/>
    <w:rsid w:val="00AB754E"/>
    <w:rsid w:val="00AC0A7D"/>
    <w:rsid w:val="00AC3332"/>
    <w:rsid w:val="00AE78CA"/>
    <w:rsid w:val="00AF5B4F"/>
    <w:rsid w:val="00B02B02"/>
    <w:rsid w:val="00B042DA"/>
    <w:rsid w:val="00B0751B"/>
    <w:rsid w:val="00B14416"/>
    <w:rsid w:val="00B53457"/>
    <w:rsid w:val="00B60744"/>
    <w:rsid w:val="00B64A0B"/>
    <w:rsid w:val="00BC0758"/>
    <w:rsid w:val="00BC4EDB"/>
    <w:rsid w:val="00BF5A1C"/>
    <w:rsid w:val="00C040B0"/>
    <w:rsid w:val="00C1097F"/>
    <w:rsid w:val="00C11C95"/>
    <w:rsid w:val="00C234FD"/>
    <w:rsid w:val="00C241C1"/>
    <w:rsid w:val="00C27D33"/>
    <w:rsid w:val="00C36D5D"/>
    <w:rsid w:val="00C52EB7"/>
    <w:rsid w:val="00C61310"/>
    <w:rsid w:val="00C65E3D"/>
    <w:rsid w:val="00C72AE9"/>
    <w:rsid w:val="00C76685"/>
    <w:rsid w:val="00C86263"/>
    <w:rsid w:val="00C90C5E"/>
    <w:rsid w:val="00CA2A56"/>
    <w:rsid w:val="00CB45D3"/>
    <w:rsid w:val="00CC0786"/>
    <w:rsid w:val="00CC2218"/>
    <w:rsid w:val="00CD5755"/>
    <w:rsid w:val="00CD5A8E"/>
    <w:rsid w:val="00CE0801"/>
    <w:rsid w:val="00CF01A2"/>
    <w:rsid w:val="00CF3E77"/>
    <w:rsid w:val="00CF6941"/>
    <w:rsid w:val="00D16118"/>
    <w:rsid w:val="00D16766"/>
    <w:rsid w:val="00D20475"/>
    <w:rsid w:val="00D21878"/>
    <w:rsid w:val="00D3084A"/>
    <w:rsid w:val="00D35048"/>
    <w:rsid w:val="00D352C1"/>
    <w:rsid w:val="00D41B27"/>
    <w:rsid w:val="00D67B85"/>
    <w:rsid w:val="00D740C1"/>
    <w:rsid w:val="00D76060"/>
    <w:rsid w:val="00D83569"/>
    <w:rsid w:val="00D9333D"/>
    <w:rsid w:val="00DA0F8F"/>
    <w:rsid w:val="00DA5FD0"/>
    <w:rsid w:val="00DD156F"/>
    <w:rsid w:val="00DD1EF7"/>
    <w:rsid w:val="00E37D89"/>
    <w:rsid w:val="00E417FA"/>
    <w:rsid w:val="00E45E52"/>
    <w:rsid w:val="00E66B66"/>
    <w:rsid w:val="00E77843"/>
    <w:rsid w:val="00E831FE"/>
    <w:rsid w:val="00E850BC"/>
    <w:rsid w:val="00E91C5D"/>
    <w:rsid w:val="00EA28FE"/>
    <w:rsid w:val="00EB0314"/>
    <w:rsid w:val="00EB6565"/>
    <w:rsid w:val="00ED5589"/>
    <w:rsid w:val="00EE19D3"/>
    <w:rsid w:val="00EF25BF"/>
    <w:rsid w:val="00F04D33"/>
    <w:rsid w:val="00F05388"/>
    <w:rsid w:val="00F17833"/>
    <w:rsid w:val="00F2518D"/>
    <w:rsid w:val="00F275D8"/>
    <w:rsid w:val="00F33360"/>
    <w:rsid w:val="00F452E4"/>
    <w:rsid w:val="00F54690"/>
    <w:rsid w:val="00F561FE"/>
    <w:rsid w:val="00F60191"/>
    <w:rsid w:val="00F74964"/>
    <w:rsid w:val="00F74F2F"/>
    <w:rsid w:val="00FC4FDA"/>
    <w:rsid w:val="00FC5D27"/>
    <w:rsid w:val="00FD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306B"/>
  <w15:docId w15:val="{A2E93A6C-4EFA-460B-B6F3-5384DF98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2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2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2B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061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6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6349"/>
  </w:style>
  <w:style w:type="paragraph" w:styleId="a6">
    <w:name w:val="footer"/>
    <w:basedOn w:val="a"/>
    <w:link w:val="a7"/>
    <w:uiPriority w:val="99"/>
    <w:unhideWhenUsed/>
    <w:rsid w:val="006C6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6349"/>
  </w:style>
  <w:style w:type="paragraph" w:styleId="a8">
    <w:name w:val="Balloon Text"/>
    <w:basedOn w:val="a"/>
    <w:link w:val="a9"/>
    <w:uiPriority w:val="99"/>
    <w:semiHidden/>
    <w:unhideWhenUsed/>
    <w:rsid w:val="00001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1DE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79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3543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53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1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5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61880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2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7481A-F00B-49BD-AD4E-1E2561E37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УниверсАудит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Limarenko Dmitry</dc:creator>
  <cp:lastModifiedBy>Роман Чеканов</cp:lastModifiedBy>
  <cp:revision>2</cp:revision>
  <cp:lastPrinted>2022-06-01T07:01:00Z</cp:lastPrinted>
  <dcterms:created xsi:type="dcterms:W3CDTF">2025-11-21T09:56:00Z</dcterms:created>
  <dcterms:modified xsi:type="dcterms:W3CDTF">2025-11-21T09:56:00Z</dcterms:modified>
</cp:coreProperties>
</file>